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1B768">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420" w:firstLineChars="200"/>
        <w:textAlignment w:val="baseline"/>
        <w:rPr>
          <w:spacing w:val="0"/>
          <w:w w:val="100"/>
        </w:rPr>
      </w:pPr>
    </w:p>
    <w:p w14:paraId="1D9F81A5">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right"/>
        <w:textAlignment w:val="baseline"/>
        <w:rPr>
          <w:rFonts w:hint="eastAsia" w:ascii="楷体_GB2312" w:hAnsi="楷体_GB2312" w:eastAsia="楷体_GB2312" w:cs="楷体_GB2312"/>
          <w:spacing w:val="0"/>
          <w:w w:val="100"/>
          <w:sz w:val="32"/>
          <w:szCs w:val="32"/>
        </w:rPr>
      </w:pPr>
      <w:r>
        <w:rPr>
          <w:rFonts w:hint="eastAsia" w:ascii="楷体_GB2312" w:hAnsi="楷体_GB2312" w:eastAsia="楷体_GB2312" w:cs="楷体_GB2312"/>
          <w:spacing w:val="0"/>
          <w:w w:val="100"/>
          <w:sz w:val="32"/>
          <w:szCs w:val="32"/>
        </w:rPr>
        <w:t>粤府土审</w:t>
      </w:r>
      <w:r>
        <w:rPr>
          <w:rFonts w:hint="eastAsia" w:ascii="楷体_GB2312" w:hAnsi="楷体_GB2312" w:eastAsia="楷体_GB2312" w:cs="楷体_GB2312"/>
          <w:spacing w:val="0"/>
          <w:w w:val="100"/>
          <w:sz w:val="32"/>
          <w:szCs w:val="32"/>
          <w:lang w:eastAsia="zh-CN"/>
        </w:rPr>
        <w:t>（</w:t>
      </w:r>
      <w:r>
        <w:rPr>
          <w:rFonts w:hint="eastAsia" w:ascii="楷体_GB2312" w:hAnsi="楷体_GB2312" w:eastAsia="楷体_GB2312" w:cs="楷体_GB2312"/>
          <w:spacing w:val="0"/>
          <w:w w:val="100"/>
          <w:sz w:val="32"/>
          <w:szCs w:val="32"/>
        </w:rPr>
        <w:t>19</w:t>
      </w:r>
      <w:r>
        <w:rPr>
          <w:rFonts w:hint="eastAsia" w:ascii="楷体_GB2312" w:hAnsi="楷体_GB2312" w:eastAsia="楷体_GB2312" w:cs="楷体_GB2312"/>
          <w:spacing w:val="0"/>
          <w:w w:val="100"/>
          <w:sz w:val="32"/>
          <w:szCs w:val="32"/>
          <w:lang w:eastAsia="zh-CN"/>
        </w:rPr>
        <w:t>）</w:t>
      </w:r>
      <w:r>
        <w:rPr>
          <w:rFonts w:hint="eastAsia" w:ascii="楷体_GB2312" w:hAnsi="楷体_GB2312" w:eastAsia="楷体_GB2312" w:cs="楷体_GB2312"/>
          <w:spacing w:val="0"/>
          <w:w w:val="100"/>
          <w:sz w:val="32"/>
          <w:szCs w:val="32"/>
        </w:rPr>
        <w:t>〔2026〕98号</w:t>
      </w:r>
    </w:p>
    <w:p w14:paraId="7FEDA20B">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420" w:firstLineChars="200"/>
        <w:textAlignment w:val="baseline"/>
        <w:rPr>
          <w:rFonts w:ascii="Arial"/>
          <w:spacing w:val="0"/>
          <w:w w:val="100"/>
          <w:sz w:val="21"/>
        </w:rPr>
      </w:pPr>
    </w:p>
    <w:p w14:paraId="34BE2DDE">
      <w:pPr>
        <w:keepNext w:val="0"/>
        <w:keepLines w:val="0"/>
        <w:pageBreakBefore w:val="0"/>
        <w:widowControl/>
        <w:kinsoku w:val="0"/>
        <w:wordWrap/>
        <w:overflowPunct/>
        <w:topLinePunct w:val="0"/>
        <w:autoSpaceDE w:val="0"/>
        <w:autoSpaceDN w:val="0"/>
        <w:bidi w:val="0"/>
        <w:adjustRightInd w:val="0"/>
        <w:snapToGrid w:val="0"/>
        <w:spacing w:line="600" w:lineRule="exact"/>
        <w:ind w:right="0"/>
        <w:jc w:val="center"/>
        <w:textAlignment w:val="baseline"/>
        <w:rPr>
          <w:rFonts w:hint="eastAsia" w:ascii="方正小标宋简体" w:hAnsi="方正小标宋简体" w:eastAsia="方正小标宋简体" w:cs="方正小标宋简体"/>
          <w:b w:val="0"/>
          <w:bCs w:val="0"/>
          <w:spacing w:val="0"/>
          <w:w w:val="100"/>
          <w:sz w:val="44"/>
          <w:szCs w:val="44"/>
        </w:rPr>
      </w:pPr>
      <w:r>
        <w:rPr>
          <w:rFonts w:hint="eastAsia" w:ascii="方正小标宋简体" w:hAnsi="方正小标宋简体" w:eastAsia="方正小标宋简体" w:cs="方正小标宋简体"/>
          <w:b w:val="0"/>
          <w:bCs w:val="0"/>
          <w:spacing w:val="0"/>
          <w:w w:val="100"/>
          <w:sz w:val="44"/>
          <w:szCs w:val="44"/>
        </w:rPr>
        <w:t>广东省人民政府关于连州市2026年度第三批次</w:t>
      </w:r>
    </w:p>
    <w:p w14:paraId="1A625E3B">
      <w:pPr>
        <w:keepNext w:val="0"/>
        <w:keepLines w:val="0"/>
        <w:pageBreakBefore w:val="0"/>
        <w:widowControl/>
        <w:kinsoku w:val="0"/>
        <w:wordWrap/>
        <w:overflowPunct/>
        <w:topLinePunct w:val="0"/>
        <w:autoSpaceDE w:val="0"/>
        <w:autoSpaceDN w:val="0"/>
        <w:bidi w:val="0"/>
        <w:adjustRightInd w:val="0"/>
        <w:snapToGrid w:val="0"/>
        <w:spacing w:line="600" w:lineRule="exact"/>
        <w:ind w:right="0"/>
        <w:jc w:val="center"/>
        <w:textAlignment w:val="baseline"/>
        <w:rPr>
          <w:rFonts w:hint="eastAsia" w:ascii="方正小标宋简体" w:hAnsi="方正小标宋简体" w:eastAsia="方正小标宋简体" w:cs="方正小标宋简体"/>
          <w:b w:val="0"/>
          <w:bCs w:val="0"/>
          <w:spacing w:val="0"/>
          <w:w w:val="100"/>
          <w:sz w:val="44"/>
          <w:szCs w:val="44"/>
        </w:rPr>
      </w:pPr>
      <w:r>
        <w:rPr>
          <w:rFonts w:hint="eastAsia" w:ascii="方正小标宋简体" w:hAnsi="方正小标宋简体" w:eastAsia="方正小标宋简体" w:cs="方正小标宋简体"/>
          <w:b w:val="0"/>
          <w:bCs w:val="0"/>
          <w:spacing w:val="0"/>
          <w:w w:val="100"/>
          <w:sz w:val="44"/>
          <w:szCs w:val="44"/>
        </w:rPr>
        <w:t>城镇建设用地的批复</w:t>
      </w:r>
    </w:p>
    <w:p w14:paraId="10E01BE3">
      <w:pPr>
        <w:pStyle w:val="2"/>
        <w:keepNext w:val="0"/>
        <w:keepLines w:val="0"/>
        <w:pageBreakBefore w:val="0"/>
        <w:widowControl/>
        <w:kinsoku w:val="0"/>
        <w:wordWrap/>
        <w:overflowPunct/>
        <w:topLinePunct w:val="0"/>
        <w:autoSpaceDE w:val="0"/>
        <w:autoSpaceDN w:val="0"/>
        <w:bidi w:val="0"/>
        <w:adjustRightInd w:val="0"/>
        <w:snapToGrid w:val="0"/>
        <w:spacing w:line="600" w:lineRule="exact"/>
        <w:ind w:right="0"/>
        <w:textAlignment w:val="baseline"/>
        <w:rPr>
          <w:spacing w:val="0"/>
          <w:w w:val="100"/>
        </w:rPr>
      </w:pPr>
    </w:p>
    <w:p w14:paraId="2B05EF95">
      <w:pPr>
        <w:pStyle w:val="2"/>
        <w:keepNext w:val="0"/>
        <w:keepLines w:val="0"/>
        <w:pageBreakBefore w:val="0"/>
        <w:widowControl/>
        <w:kinsoku w:val="0"/>
        <w:wordWrap/>
        <w:overflowPunct/>
        <w:topLinePunct w:val="0"/>
        <w:autoSpaceDE w:val="0"/>
        <w:autoSpaceDN w:val="0"/>
        <w:bidi w:val="0"/>
        <w:adjustRightInd w:val="0"/>
        <w:snapToGrid w:val="0"/>
        <w:spacing w:line="600" w:lineRule="exact"/>
        <w:ind w:right="0"/>
        <w:jc w:val="both"/>
        <w:textAlignment w:val="baseline"/>
        <w:rPr>
          <w:rFonts w:hint="eastAsia" w:ascii="仿宋_GB2312" w:hAnsi="仿宋_GB2312" w:eastAsia="仿宋_GB2312" w:cs="仿宋_GB2312"/>
          <w:spacing w:val="0"/>
          <w:w w:val="100"/>
          <w:sz w:val="32"/>
          <w:szCs w:val="32"/>
        </w:rPr>
      </w:pPr>
      <w:r>
        <w:rPr>
          <w:rFonts w:hint="eastAsia" w:ascii="仿宋_GB2312" w:hAnsi="仿宋_GB2312" w:eastAsia="仿宋_GB2312" w:cs="仿宋_GB2312"/>
          <w:spacing w:val="0"/>
          <w:w w:val="100"/>
          <w:sz w:val="32"/>
          <w:szCs w:val="32"/>
        </w:rPr>
        <w:t>清远市人民政府：</w:t>
      </w:r>
    </w:p>
    <w:p w14:paraId="0BBA88B5">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w w:val="100"/>
          <w:sz w:val="32"/>
          <w:szCs w:val="32"/>
        </w:rPr>
      </w:pPr>
      <w:r>
        <w:rPr>
          <w:rFonts w:hint="eastAsia" w:ascii="仿宋_GB2312" w:hAnsi="仿宋_GB2312" w:eastAsia="仿宋_GB2312" w:cs="仿宋_GB2312"/>
          <w:spacing w:val="0"/>
          <w:w w:val="100"/>
          <w:sz w:val="32"/>
          <w:szCs w:val="32"/>
        </w:rPr>
        <w:t>《关于审批连州市2026年度第三批次城镇建设用地的请示</w:t>
      </w:r>
      <w:r>
        <w:rPr>
          <w:rFonts w:hint="eastAsia" w:ascii="仿宋_GB2312" w:hAnsi="仿宋_GB2312" w:eastAsia="仿宋_GB2312" w:cs="仿宋_GB2312"/>
          <w:spacing w:val="0"/>
          <w:w w:val="100"/>
          <w:sz w:val="32"/>
          <w:szCs w:val="32"/>
          <w:lang w:eastAsia="zh-CN"/>
        </w:rPr>
        <w:t>》（</w:t>
      </w:r>
      <w:r>
        <w:rPr>
          <w:rFonts w:hint="eastAsia" w:ascii="仿宋_GB2312" w:hAnsi="仿宋_GB2312" w:eastAsia="仿宋_GB2312" w:cs="仿宋_GB2312"/>
          <w:spacing w:val="0"/>
          <w:w w:val="100"/>
          <w:sz w:val="32"/>
          <w:szCs w:val="32"/>
        </w:rPr>
        <w:t>清自然资管制报〔2026〕152号</w:t>
      </w:r>
      <w:r>
        <w:rPr>
          <w:rFonts w:hint="eastAsia" w:ascii="仿宋_GB2312" w:hAnsi="仿宋_GB2312" w:eastAsia="仿宋_GB2312" w:cs="仿宋_GB2312"/>
          <w:spacing w:val="0"/>
          <w:w w:val="100"/>
          <w:sz w:val="32"/>
          <w:szCs w:val="32"/>
          <w:lang w:eastAsia="zh-CN"/>
        </w:rPr>
        <w:t>）</w:t>
      </w:r>
      <w:r>
        <w:rPr>
          <w:rFonts w:hint="eastAsia" w:ascii="仿宋_GB2312" w:hAnsi="仿宋_GB2312" w:eastAsia="仿宋_GB2312" w:cs="仿宋_GB2312"/>
          <w:spacing w:val="0"/>
          <w:w w:val="100"/>
          <w:sz w:val="32"/>
          <w:szCs w:val="32"/>
        </w:rPr>
        <w:t>收悉，现批复如下：</w:t>
      </w:r>
    </w:p>
    <w:p w14:paraId="0B4D5C4B">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w w:val="100"/>
          <w:sz w:val="32"/>
          <w:szCs w:val="32"/>
        </w:rPr>
      </w:pPr>
      <w:r>
        <w:rPr>
          <w:rFonts w:hint="eastAsia" w:ascii="仿宋_GB2312" w:hAnsi="仿宋_GB2312" w:eastAsia="仿宋_GB2312" w:cs="仿宋_GB2312"/>
          <w:spacing w:val="0"/>
          <w:w w:val="100"/>
          <w:sz w:val="32"/>
          <w:szCs w:val="32"/>
        </w:rPr>
        <w:t>一、同意连州市2026年度第三批次城镇建设用地办理农用地转用和土地征收手续。</w:t>
      </w:r>
    </w:p>
    <w:p w14:paraId="38442FAE">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w w:val="100"/>
          <w:sz w:val="32"/>
          <w:szCs w:val="32"/>
        </w:rPr>
      </w:pPr>
      <w:r>
        <w:rPr>
          <w:rFonts w:hint="eastAsia" w:ascii="仿宋_GB2312" w:hAnsi="仿宋_GB2312" w:eastAsia="仿宋_GB2312" w:cs="仿宋_GB2312"/>
          <w:spacing w:val="0"/>
          <w:w w:val="100"/>
          <w:sz w:val="32"/>
          <w:szCs w:val="32"/>
        </w:rPr>
        <w:t>二、同意你市将农民集体所有农用地0.8772公顷</w:t>
      </w:r>
      <w:r>
        <w:rPr>
          <w:rFonts w:hint="eastAsia" w:ascii="仿宋_GB2312" w:hAnsi="仿宋_GB2312" w:eastAsia="仿宋_GB2312" w:cs="仿宋_GB2312"/>
          <w:spacing w:val="0"/>
          <w:w w:val="100"/>
          <w:sz w:val="32"/>
          <w:szCs w:val="32"/>
          <w:lang w:eastAsia="zh-CN"/>
        </w:rPr>
        <w:t>（</w:t>
      </w:r>
      <w:r>
        <w:rPr>
          <w:rFonts w:hint="eastAsia" w:ascii="仿宋_GB2312" w:hAnsi="仿宋_GB2312" w:eastAsia="仿宋_GB2312" w:cs="仿宋_GB2312"/>
          <w:spacing w:val="0"/>
          <w:w w:val="100"/>
          <w:sz w:val="32"/>
          <w:szCs w:val="32"/>
        </w:rPr>
        <w:t>其中耕地0.0003公顷，含水田0.0003公顷</w:t>
      </w:r>
      <w:r>
        <w:rPr>
          <w:rFonts w:hint="eastAsia" w:ascii="仿宋_GB2312" w:hAnsi="仿宋_GB2312" w:eastAsia="仿宋_GB2312" w:cs="仿宋_GB2312"/>
          <w:spacing w:val="0"/>
          <w:w w:val="100"/>
          <w:sz w:val="32"/>
          <w:szCs w:val="32"/>
          <w:lang w:eastAsia="zh-CN"/>
        </w:rPr>
        <w:t>）</w:t>
      </w:r>
      <w:r>
        <w:rPr>
          <w:rFonts w:hint="eastAsia" w:ascii="仿宋_GB2312" w:hAnsi="仿宋_GB2312" w:eastAsia="仿宋_GB2312" w:cs="仿宋_GB2312"/>
          <w:spacing w:val="0"/>
          <w:w w:val="100"/>
          <w:sz w:val="32"/>
          <w:szCs w:val="32"/>
        </w:rPr>
        <w:t>转为建设用地并办理征地手续</w:t>
      </w:r>
      <w:r>
        <w:rPr>
          <w:rFonts w:hint="eastAsia" w:ascii="仿宋_GB2312" w:hAnsi="仿宋_GB2312" w:eastAsia="仿宋_GB2312" w:cs="仿宋_GB2312"/>
          <w:spacing w:val="0"/>
          <w:w w:val="100"/>
          <w:sz w:val="32"/>
          <w:szCs w:val="32"/>
          <w:lang w:eastAsia="zh-CN"/>
        </w:rPr>
        <w:t>；</w:t>
      </w:r>
      <w:r>
        <w:rPr>
          <w:rFonts w:hint="eastAsia" w:ascii="仿宋_GB2312" w:hAnsi="仿宋_GB2312" w:eastAsia="仿宋_GB2312" w:cs="仿宋_GB2312"/>
          <w:spacing w:val="0"/>
          <w:w w:val="100"/>
          <w:sz w:val="32"/>
          <w:szCs w:val="32"/>
        </w:rPr>
        <w:t>同意将国有农用地0.0016公顷</w:t>
      </w:r>
      <w:r>
        <w:rPr>
          <w:rFonts w:hint="eastAsia" w:ascii="仿宋_GB2312" w:hAnsi="仿宋_GB2312" w:eastAsia="仿宋_GB2312" w:cs="仿宋_GB2312"/>
          <w:spacing w:val="0"/>
          <w:w w:val="100"/>
          <w:sz w:val="32"/>
          <w:szCs w:val="32"/>
          <w:lang w:eastAsia="zh-CN"/>
        </w:rPr>
        <w:t>（</w:t>
      </w:r>
      <w:r>
        <w:rPr>
          <w:rFonts w:hint="eastAsia" w:ascii="仿宋_GB2312" w:hAnsi="仿宋_GB2312" w:eastAsia="仿宋_GB2312" w:cs="仿宋_GB2312"/>
          <w:spacing w:val="0"/>
          <w:w w:val="100"/>
          <w:sz w:val="32"/>
          <w:szCs w:val="32"/>
        </w:rPr>
        <w:t>其中耕地0公顷</w:t>
      </w:r>
      <w:r>
        <w:rPr>
          <w:rFonts w:hint="eastAsia" w:ascii="仿宋_GB2312" w:hAnsi="仿宋_GB2312" w:eastAsia="仿宋_GB2312" w:cs="仿宋_GB2312"/>
          <w:spacing w:val="0"/>
          <w:w w:val="100"/>
          <w:sz w:val="32"/>
          <w:szCs w:val="32"/>
          <w:lang w:eastAsia="zh-CN"/>
        </w:rPr>
        <w:t>）</w:t>
      </w:r>
      <w:r>
        <w:rPr>
          <w:rFonts w:hint="eastAsia" w:ascii="仿宋_GB2312" w:hAnsi="仿宋_GB2312" w:eastAsia="仿宋_GB2312" w:cs="仿宋_GB2312"/>
          <w:spacing w:val="0"/>
          <w:w w:val="100"/>
          <w:sz w:val="32"/>
          <w:szCs w:val="32"/>
        </w:rPr>
        <w:t>转为建设用地。上述0.8788公顷用地由当地人民政府按照经依法批准的国土空间规划确定的用途供应，用于城镇用地。</w:t>
      </w:r>
    </w:p>
    <w:p w14:paraId="3688C663">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w w:val="100"/>
          <w:sz w:val="32"/>
          <w:szCs w:val="32"/>
        </w:rPr>
      </w:pPr>
      <w:r>
        <w:rPr>
          <w:rFonts w:hint="eastAsia" w:ascii="仿宋_GB2312" w:hAnsi="仿宋_GB2312" w:eastAsia="仿宋_GB2312" w:cs="仿宋_GB2312"/>
          <w:spacing w:val="0"/>
          <w:w w:val="100"/>
          <w:sz w:val="32"/>
          <w:szCs w:val="32"/>
        </w:rPr>
        <w:t>三、请你市人民政府按照《中华人民共和国土地管理法》有关规定，严格履行征地批后实施程序，及时足额支付补偿费用，安排被征地农民的社会保障费用，落实安置措施，妥善解决好被征地农民的生产和生活，保证原有生活水平不降低，长远生计有保障。征地补偿安置不落实的，不得动工用地。有关工业项目必须符合安全、环保、效益三条底线。你市相关不动产登记机构以此办理集体土地所有权注销或变更登记。</w:t>
      </w:r>
    </w:p>
    <w:p w14:paraId="17651BA8">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w w:val="100"/>
          <w:sz w:val="32"/>
          <w:szCs w:val="32"/>
        </w:rPr>
      </w:pPr>
      <w:r>
        <w:rPr>
          <w:rFonts w:hint="eastAsia" w:ascii="仿宋_GB2312" w:hAnsi="仿宋_GB2312" w:eastAsia="仿宋_GB2312" w:cs="仿宋_GB2312"/>
          <w:spacing w:val="0"/>
          <w:w w:val="100"/>
          <w:sz w:val="32"/>
          <w:szCs w:val="32"/>
        </w:rPr>
        <w:t>四、请你市人民政府负责落实补充耕地。督促补充耕地责任单位认真按照补充耕地方案，补充数量相等、质量相当的耕地，落实建设占用耕地耕作层土壤剥离利用。</w:t>
      </w:r>
    </w:p>
    <w:p w14:paraId="5B99E428">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w w:val="100"/>
          <w:sz w:val="32"/>
          <w:szCs w:val="32"/>
        </w:rPr>
      </w:pPr>
      <w:r>
        <w:rPr>
          <w:rFonts w:hint="eastAsia" w:ascii="仿宋_GB2312" w:hAnsi="仿宋_GB2312" w:eastAsia="仿宋_GB2312" w:cs="仿宋_GB2312"/>
          <w:spacing w:val="0"/>
          <w:w w:val="100"/>
          <w:sz w:val="32"/>
          <w:szCs w:val="32"/>
        </w:rPr>
        <w:t>五、严格按照国家有关规定缴纳新增建设用地土地有偿使用费。</w:t>
      </w:r>
    </w:p>
    <w:p w14:paraId="451126CB">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w w:val="100"/>
          <w:sz w:val="32"/>
          <w:szCs w:val="32"/>
        </w:rPr>
      </w:pPr>
    </w:p>
    <w:p w14:paraId="786A68B1">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w w:val="100"/>
          <w:sz w:val="32"/>
          <w:szCs w:val="32"/>
        </w:rPr>
      </w:pPr>
    </w:p>
    <w:p w14:paraId="5988A353">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w w:val="100"/>
          <w:sz w:val="32"/>
          <w:szCs w:val="32"/>
        </w:rPr>
      </w:pPr>
      <w:bookmarkStart w:id="0" w:name="_GoBack"/>
      <w:bookmarkEnd w:id="0"/>
    </w:p>
    <w:p w14:paraId="17C94C26">
      <w:pPr>
        <w:pStyle w:val="2"/>
        <w:keepNext w:val="0"/>
        <w:keepLines w:val="0"/>
        <w:pageBreakBefore w:val="0"/>
        <w:widowControl/>
        <w:kinsoku w:val="0"/>
        <w:wordWrap w:val="0"/>
        <w:overflowPunct/>
        <w:topLinePunct w:val="0"/>
        <w:autoSpaceDE w:val="0"/>
        <w:autoSpaceDN w:val="0"/>
        <w:bidi w:val="0"/>
        <w:adjustRightInd w:val="0"/>
        <w:snapToGrid w:val="0"/>
        <w:spacing w:line="600" w:lineRule="exact"/>
        <w:ind w:left="0" w:right="840" w:rightChars="400" w:firstLine="0" w:firstLineChars="0"/>
        <w:jc w:val="right"/>
        <w:textAlignment w:val="baseline"/>
        <w:rPr>
          <w:rFonts w:hint="default" w:ascii="仿宋_GB2312" w:hAnsi="仿宋_GB2312" w:eastAsia="仿宋_GB2312" w:cs="仿宋_GB2312"/>
          <w:spacing w:val="0"/>
          <w:w w:val="100"/>
          <w:sz w:val="32"/>
          <w:szCs w:val="32"/>
          <w:lang w:val="en-US" w:eastAsia="zh-CN"/>
        </w:rPr>
      </w:pPr>
      <w:r>
        <w:rPr>
          <w:rFonts w:hint="eastAsia" w:ascii="仿宋_GB2312" w:hAnsi="仿宋_GB2312" w:eastAsia="仿宋_GB2312" w:cs="仿宋_GB2312"/>
          <w:spacing w:val="53"/>
          <w:w w:val="100"/>
          <w:kern w:val="0"/>
          <w:sz w:val="32"/>
          <w:szCs w:val="32"/>
          <w:fitText w:val="2560" w:id="2139249510"/>
        </w:rPr>
        <w:t>广东省人民政</w:t>
      </w:r>
      <w:r>
        <w:rPr>
          <w:rFonts w:hint="eastAsia" w:ascii="仿宋_GB2312" w:hAnsi="仿宋_GB2312" w:eastAsia="仿宋_GB2312" w:cs="仿宋_GB2312"/>
          <w:spacing w:val="2"/>
          <w:w w:val="100"/>
          <w:kern w:val="0"/>
          <w:sz w:val="32"/>
          <w:szCs w:val="32"/>
          <w:fitText w:val="2560" w:id="2139249510"/>
        </w:rPr>
        <w:t>府</w:t>
      </w:r>
    </w:p>
    <w:p w14:paraId="5A6E7221">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840" w:rightChars="400" w:firstLine="0" w:firstLineChars="0"/>
        <w:jc w:val="right"/>
        <w:textAlignment w:val="baseline"/>
        <w:rPr>
          <w:rFonts w:hint="eastAsia" w:ascii="仿宋_GB2312" w:hAnsi="仿宋_GB2312" w:eastAsia="仿宋_GB2312" w:cs="仿宋_GB2312"/>
          <w:spacing w:val="0"/>
          <w:w w:val="100"/>
          <w:sz w:val="32"/>
          <w:szCs w:val="32"/>
        </w:rPr>
      </w:pPr>
      <w:r>
        <w:rPr>
          <w:rFonts w:hint="eastAsia" w:ascii="仿宋_GB2312" w:hAnsi="仿宋_GB2312" w:eastAsia="仿宋_GB2312" w:cs="仿宋_GB2312"/>
          <w:spacing w:val="53"/>
          <w:w w:val="100"/>
          <w:kern w:val="0"/>
          <w:sz w:val="32"/>
          <w:szCs w:val="32"/>
          <w:fitText w:val="2560" w:id="1503146159"/>
        </w:rPr>
        <w:t>2026年8月13</w:t>
      </w:r>
      <w:r>
        <w:rPr>
          <w:rFonts w:hint="eastAsia" w:ascii="仿宋_GB2312" w:hAnsi="仿宋_GB2312" w:eastAsia="仿宋_GB2312" w:cs="仿宋_GB2312"/>
          <w:spacing w:val="3"/>
          <w:w w:val="100"/>
          <w:kern w:val="0"/>
          <w:sz w:val="32"/>
          <w:szCs w:val="32"/>
          <w:fitText w:val="2560" w:id="1503146159"/>
        </w:rPr>
        <w:t>日</w:t>
      </w:r>
    </w:p>
    <w:sectPr>
      <w:footerReference r:id="rId5" w:type="default"/>
      <w:pgSz w:w="11920" w:h="16840"/>
      <w:pgMar w:top="2211" w:right="1474" w:bottom="1871" w:left="1587" w:header="850" w:footer="1474" w:gutter="0"/>
      <w:paperSrc/>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350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2753E85"/>
    <w:rsid w:val="12942106"/>
    <w:rsid w:val="1EA731C1"/>
    <w:rsid w:val="2B0674C1"/>
    <w:rsid w:val="363E472A"/>
    <w:rsid w:val="400305C5"/>
    <w:rsid w:val="652266CA"/>
    <w:rsid w:val="6E001573"/>
    <w:rsid w:val="6F9E10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3"/>
      <w:szCs w:val="33"/>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76ccacc6-5dc4-4c2a-970f-d0b356996685</errorID>
      <errorWord>(</errorWord>
      <group>L1_Format</group>
      <groupName>格式问题</groupName>
      <ability>L2_HalfPunc_CN</ability>
      <abilityName>全半角问题</abilityName>
      <candidateList>
        <item>（</item>
      </candidateList>
      <explain>文本全半角错误。</explain>
      <paraID>1D9F81A5</paraID>
      <start>4</start>
      <end>5</end>
      <status>modified</status>
      <modifiedWord>（</modifiedWord>
      <trackRevisions>false</trackRevisions>
    </reviewItem>
    <reviewItem>
      <errorID>7ab346d7-63cc-438c-a7b8-dfbb323fbcba</errorID>
      <errorWord>)</errorWord>
      <group>L1_Format</group>
      <groupName>格式问题</groupName>
      <ability>L2_HalfPunc_CN</ability>
      <abilityName>全半角问题</abilityName>
      <candidateList>
        <item>）</item>
      </candidateList>
      <explain>文本全半角错误。</explain>
      <paraID>1D9F81A5</paraID>
      <start>7</start>
      <end>8</end>
      <status>modified</status>
      <modifiedWord>）</modifiedWord>
      <trackRevisions>false</trackRevisions>
    </reviewItem>
    <reviewItem>
      <errorID>89a3fc03-e385-40cc-83ee-4426cef6e488</errorID>
      <errorWord>(</errorWord>
      <group>L1_Format</group>
      <groupName>格式问题</groupName>
      <ability>L2_HalfPunc_CN</ability>
      <abilityName>全半角问题</abilityName>
      <candidateList>
        <item>（</item>
      </candidateList>
      <explain>文本全半角错误。</explain>
      <paraID> BBA88B5</paraID>
      <start>28</start>
      <end>29</end>
      <status>modified</status>
      <modifiedWord>（</modifiedWord>
      <trackRevisions>false</trackRevisions>
    </reviewItem>
    <reviewItem>
      <errorID>e7424cc4-8ce2-4f79-95cc-b976c315878a</errorID>
      <errorWord>)</errorWord>
      <group>L1_Format</group>
      <groupName>格式问题</groupName>
      <ability>L2_HalfPunc_CN</ability>
      <abilityName>全半角问题</abilityName>
      <candidateList>
        <item>）</item>
      </candidateList>
      <explain>文本全半角错误。</explain>
      <paraID> BBA88B5</paraID>
      <start>46</start>
      <end>47</end>
      <status>modified</status>
      <modifiedWord>）</modifiedWord>
      <trackRevisions>false</trackRevisions>
    </reviewItem>
    <reviewItem>
      <errorID>f4c5e611-c1ff-4eb4-b84e-8b6dc8f368a9</errorID>
      <errorWord>(</errorWord>
      <group>L1_Format</group>
      <groupName>格式问题</groupName>
      <ability>L2_HalfPunc_CN</ability>
      <abilityName>全半角问题</abilityName>
      <candidateList>
        <item>（</item>
      </candidateList>
      <explain>文本全半角错误。</explain>
      <paraID>38442FAE</paraID>
      <start>24</start>
      <end>25</end>
      <status>modified</status>
      <modifiedWord>（</modifiedWord>
      <trackRevisions>false</trackRevisions>
    </reviewItem>
    <reviewItem>
      <errorID>6da43b29-10f7-48cc-8b5d-113019d72b34</errorID>
      <errorWord>)</errorWord>
      <group>L1_Format</group>
      <groupName>格式问题</groupName>
      <ability>L2_HalfPunc_CN</ability>
      <abilityName>全半角问题</abilityName>
      <candidateList>
        <item>）</item>
      </candidateList>
      <explain>文本全半角错误。</explain>
      <paraID>38442FAE</paraID>
      <start>49</start>
      <end>50</end>
      <status>modified</status>
      <modifiedWord>）</modifiedWord>
      <trackRevisions>false</trackRevisions>
    </reviewItem>
    <reviewItem>
      <errorID>534f2c4c-2324-4346-9753-2dff938fa2d1</errorID>
      <errorWord>(</errorWord>
      <group>L1_Format</group>
      <groupName>格式问题</groupName>
      <ability>L2_HalfPunc_CN</ability>
      <abilityName>全半角问题</abilityName>
      <candidateList>
        <item>（</item>
      </candidateList>
      <explain>文本全半角错误。</explain>
      <paraID>38442FAE</paraID>
      <start>80</start>
      <end>81</end>
      <status>modified</status>
      <modifiedWord>（</modifiedWord>
      <trackRevisions>false</trackRevisions>
    </reviewItem>
    <reviewItem>
      <errorID>60a70f9f-90fd-488f-804d-17729643c2ad</errorID>
      <errorWord>)</errorWord>
      <group>L1_Format</group>
      <groupName>格式问题</groupName>
      <ability>L2_HalfPunc_CN</ability>
      <abilityName>全半角问题</abilityName>
      <candidateList>
        <item>）</item>
      </candidateList>
      <explain>文本全半角错误。</explain>
      <paraID>38442FAE</paraID>
      <start>88</start>
      <end>89</end>
      <status>modified</status>
      <modifiedWord>）</modifiedWord>
      <trackRevisions>false</trackRevisions>
    </reviewItem>
  </reviewItems>
  <config/>
</contractReview>
</file>

<file path=customXml/itemProps1.xml><?xml version="1.0" encoding="utf-8"?>
<ds:datastoreItem xmlns:ds="http://schemas.openxmlformats.org/officeDocument/2006/customXml" ds:itemID="{aa4862a4-4f7d-4e7c-baa9-d271c3e10ee0}">
  <ds:schemaRefs/>
</ds:datastoreItem>
</file>

<file path=docProps/app.xml><?xml version="1.0" encoding="utf-8"?>
<Properties xmlns="http://schemas.openxmlformats.org/officeDocument/2006/extended-properties" xmlns:vt="http://schemas.openxmlformats.org/officeDocument/2006/docPropsVTypes">
  <Pages>2</Pages>
  <Words>697</Words>
  <Characters>747</Characters>
  <TotalTime>11</TotalTime>
  <ScaleCrop>false</ScaleCrop>
  <LinksUpToDate>false</LinksUpToDate>
  <CharactersWithSpaces>777</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2026-08-28T08:50:00Z</dcterms:created>
  <dc:creator>18926</dc:creator>
  <cp:lastModifiedBy>Mr.Bo</cp:lastModifiedBy>
  <dcterms:modified xsi:type="dcterms:W3CDTF">2026-08-28T01:02:50Z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2026-08-28T08:50:36Z</vt:filetime>
  </property>
  <property fmtid="{D5CDD505-2E9C-101B-9397-08002B2CF9AE}" pid="4" name="UsrData">
    <vt:lpwstr>6a90db5a53c8ea001fb5f218wl</vt:lpwstr>
  </property>
  <property fmtid="{D5CDD505-2E9C-101B-9397-08002B2CF9AE}" pid="5" name="KSOTemplateDocerSaveRecord">
    <vt:lpwstr>eyJoZGlkIjoiNjU0MmQ2YzA2OTE1MmFiZGQ4MDQ5NjRkOTA4OGJmYTYiLCJ1c2VySWQiOiIxNDU4MjUzOTkwIn0=</vt:lpwstr>
  </property>
  <property fmtid="{D5CDD505-2E9C-101B-9397-08002B2CF9AE}" pid="6" name="KSOProductBuildVer">
    <vt:lpwstr>2052-12.1.0.28043</vt:lpwstr>
  </property>
  <property fmtid="{D5CDD505-2E9C-101B-9397-08002B2CF9AE}" pid="7" name="ICV">
    <vt:lpwstr>67B3DB3B84C9418B93F0524B0D0D176C_12</vt:lpwstr>
  </property>
</Properties>
</file>